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4"/>
        <w:spacing w:after="56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eastAsia="Times New Roman" w:cs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180340" distL="114300" distR="114300" simplePos="0" relativeHeight="524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115695" cy="539750"/>
                <wp:effectExtent l="0" t="0" r="0" b="0"/>
                <wp:wrapTopAndBottom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11569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so-position-horizontal:center;mso-position-vertical-relative:text;margin-top:0.00pt;mso-position-vertical:absolute;width:87.85pt;height:42.50pt;mso-wrap-distance-left:9.00pt;mso-wrap-distance-top:0.00pt;mso-wrap-distance-right:9.00pt;mso-wrap-distance-bottom:14.20pt;" stroked="f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sz w:val="18"/>
          <w:szCs w:val="18"/>
          <w:lang w:eastAsia="en-US"/>
        </w:rPr>
        <w:t xml:space="preserve">Акционерное общество «Дальневосточная генерирующая компания»</w:t>
      </w:r>
      <w:r>
        <w:rPr>
          <w:rFonts w:ascii="Times New Roman" w:hAnsi="Times New Roman" w:cs="Times New Roman"/>
          <w:b/>
          <w:bCs/>
          <w:sz w:val="18"/>
          <w:szCs w:val="18"/>
        </w:rPr>
      </w:r>
    </w:p>
    <w:p>
      <w:pPr>
        <w:pStyle w:val="654"/>
        <w:shd w:val="clear" w:color="auto" w:fill="ffffff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ПРИКАЗ</w:t>
      </w:r>
      <w:r>
        <w:rPr>
          <w:rFonts w:ascii="Arial" w:hAnsi="Arial" w:cs="Arial"/>
          <w:b/>
          <w:color w:val="000000"/>
        </w:rPr>
      </w:r>
    </w:p>
    <w:p>
      <w:pPr>
        <w:pStyle w:val="654"/>
        <w:shd w:val="clear" w:color="auto" w:fill="ffffff"/>
        <w:spacing w:after="284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г. Хабаровск </w:t>
      </w:r>
      <w:r>
        <w:rPr>
          <w:rFonts w:ascii="Arial" w:hAnsi="Arial" w:cs="Arial"/>
          <w:color w:val="000000"/>
          <w:sz w:val="16"/>
          <w:szCs w:val="16"/>
        </w:rPr>
      </w:r>
    </w:p>
    <w:p>
      <w:pPr>
        <w:pStyle w:val="654"/>
        <w:shd w:val="clear" w:color="auto" w:fill="ffffff"/>
        <w:tabs>
          <w:tab w:val="left" w:pos="284" w:leader="none"/>
          <w:tab w:val="center" w:pos="1560" w:leader="none"/>
          <w:tab w:val="right" w:pos="3119" w:leader="none"/>
          <w:tab w:val="left" w:pos="6804" w:leader="none"/>
          <w:tab w:val="center" w:pos="8364" w:leader="none"/>
          <w:tab w:val="right" w:pos="9923" w:leader="none"/>
        </w:tabs>
        <w:spacing w:after="284"/>
        <w:rPr>
          <w:rFonts w:ascii="Arial" w:hAnsi="Arial" w:cs="Arial"/>
          <w:color w:val="000000"/>
          <w:sz w:val="16"/>
          <w:szCs w:val="16"/>
          <w:u w:val="single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  <w:u w:val="single"/>
        </w:rPr>
        <w:tab/>
        <w:tab/>
      </w:r>
      <w:r>
        <w:rPr>
          <w:rFonts w:ascii="Arial" w:hAnsi="Arial" w:cs="Arial"/>
          <w:color w:val="000000"/>
          <w:sz w:val="16"/>
          <w:szCs w:val="16"/>
        </w:rPr>
        <w:tab/>
        <w:t xml:space="preserve">№</w:t>
      </w:r>
      <w:r>
        <w:rPr>
          <w:rFonts w:ascii="Arial" w:hAnsi="Arial" w:cs="Arial"/>
          <w:color w:val="000000"/>
          <w:sz w:val="16"/>
          <w:szCs w:val="16"/>
        </w:rPr>
        <w:t xml:space="preserve">  ________________________</w:t>
      </w:r>
      <w:r>
        <w:rPr>
          <w:rFonts w:ascii="Arial" w:hAnsi="Arial" w:cs="Arial"/>
          <w:color w:val="000000"/>
          <w:sz w:val="16"/>
          <w:szCs w:val="16"/>
          <w:u w:val="single"/>
        </w:rPr>
      </w:r>
      <w:r>
        <w:rPr>
          <w:rFonts w:ascii="Arial" w:hAnsi="Arial" w:cs="Arial"/>
          <w:color w:val="000000"/>
          <w:sz w:val="16"/>
          <w:szCs w:val="16"/>
          <w:u w:val="single"/>
        </w:rPr>
      </w:r>
    </w:p>
    <w:tbl>
      <w:tblPr>
        <w:tblStyle w:val="48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</w:tblGrid>
      <w:tr>
        <w:trPr>
          <w:trHeight w:val="1272"/>
        </w:trPr>
        <w:tblPrEx/>
        <w:tc>
          <w:tcPr>
            <w:tcW w:w="478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pStyle w:val="654"/>
              <w:jc w:val="both"/>
            </w:pPr>
            <w:r>
              <w:t xml:space="preserve">О </w:t>
            </w:r>
            <w:r>
              <w:t xml:space="preserve">введении в действие </w:t>
            </w:r>
            <w:r>
              <w:t xml:space="preserve">Положения </w:t>
            </w:r>
            <w:r>
              <w:t xml:space="preserve">о допуске персонала </w:t>
            </w:r>
            <w:r>
              <w:t xml:space="preserve">подрядных организаций к выполнению работ </w:t>
            </w:r>
            <w:r>
              <w:t xml:space="preserve">на объектах АО «ДГК»</w:t>
            </w:r>
          </w:p>
          <w:p>
            <w:pPr>
              <w:pStyle w:val="654"/>
            </w:pPr>
          </w:p>
        </w:tc>
      </w:tr>
    </w:tbl>
    <w:p>
      <w:pPr>
        <w:pStyle w:val="654"/>
      </w:pPr>
    </w:p>
    <w:p>
      <w:pPr>
        <w:pStyle w:val="666"/>
        <w:tabs>
          <w:tab w:val="clear" w:pos="4153" w:leader="none"/>
          <w:tab w:val="clear" w:pos="8306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4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совершенствования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процедур системы управления охраной труда в отношении организации безопасного производства работ персоналом </w:t>
      </w:r>
      <w:r>
        <w:rPr>
          <w:sz w:val="28"/>
          <w:szCs w:val="28"/>
        </w:rPr>
        <w:t xml:space="preserve">подрядных, </w:t>
      </w:r>
      <w:r>
        <w:rPr>
          <w:sz w:val="28"/>
          <w:szCs w:val="28"/>
        </w:rPr>
        <w:t xml:space="preserve">строительно-монтажных организаций и командированным персоналом на объектах АО «ДГК»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исполнение п.45 решений протокола совещания с директорами СП АО «ДГК» № Пр-ДГК/705,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ПРИКАЗЫВАЮ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4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и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вести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актуализированное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Положение                       о допуске персонала </w:t>
      </w:r>
      <w:r>
        <w:rPr>
          <w:sz w:val="28"/>
          <w:szCs w:val="28"/>
        </w:rPr>
        <w:t xml:space="preserve">подрядных организаций</w:t>
      </w:r>
      <w:r>
        <w:rPr>
          <w:sz w:val="28"/>
          <w:szCs w:val="28"/>
        </w:rPr>
        <w:t xml:space="preserve"> к выполнению работ                             на объектах АО «ДГК»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 xml:space="preserve">(приложение          к приказу)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>
        <w:rPr>
          <w:sz w:val="28"/>
          <w:szCs w:val="28"/>
        </w:rPr>
        <w:t xml:space="preserve">с даты регистрации настоящего</w:t>
      </w:r>
      <w:r>
        <w:rPr>
          <w:sz w:val="28"/>
          <w:szCs w:val="28"/>
        </w:rPr>
        <w:t xml:space="preserve"> приказа.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>
        <w:rPr>
          <w:sz w:val="28"/>
          <w:szCs w:val="28"/>
        </w:rPr>
        <w:t xml:space="preserve">Директор</w:t>
      </w:r>
      <w:r>
        <w:rPr>
          <w:sz w:val="28"/>
          <w:szCs w:val="28"/>
        </w:rPr>
        <w:t xml:space="preserve">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структурных подразделений</w:t>
      </w:r>
      <w:r>
        <w:rPr>
          <w:sz w:val="28"/>
          <w:szCs w:val="28"/>
        </w:rPr>
        <w:t xml:space="preserve"> АО «ДГК»</w:t>
      </w:r>
      <w:r>
        <w:rPr>
          <w:sz w:val="28"/>
          <w:szCs w:val="28"/>
        </w:rPr>
        <w:t xml:space="preserve">, руководителям подразделений исполнительного аппарата АО «ДГК»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4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Принять к исполнению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Положение о допуске персонала </w:t>
      </w:r>
      <w:r>
        <w:rPr>
          <w:sz w:val="28"/>
          <w:szCs w:val="28"/>
        </w:rPr>
        <w:t xml:space="preserve">подрядных организаций</w:t>
      </w:r>
      <w:r>
        <w:rPr>
          <w:sz w:val="28"/>
          <w:szCs w:val="28"/>
        </w:rPr>
        <w:t xml:space="preserve"> к выполнению работ на объектах АО «ДГК»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54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>
        <w:rPr>
          <w:sz w:val="28"/>
          <w:szCs w:val="28"/>
        </w:rPr>
        <w:t xml:space="preserve">с даты регистрации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приказа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54"/>
        <w:spacing w:line="336" w:lineRule="auto"/>
        <w:ind w:firstLine="567"/>
        <w:jc w:val="both"/>
      </w:pPr>
      <w:r>
        <w:rPr>
          <w:sz w:val="28"/>
          <w:szCs w:val="28"/>
        </w:rPr>
        <w:t xml:space="preserve">2.2. 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ключать </w:t>
      </w:r>
      <w:r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 xml:space="preserve">в состав конкурсной документации в раздел технических требований к </w:t>
      </w:r>
      <w:r>
        <w:rPr>
          <w:sz w:val="28"/>
          <w:szCs w:val="28"/>
        </w:rPr>
        <w:t xml:space="preserve">выполняемым </w:t>
      </w:r>
      <w:r>
        <w:rPr>
          <w:sz w:val="28"/>
          <w:szCs w:val="28"/>
        </w:rPr>
        <w:t xml:space="preserve">работам, проводимым подрядными организациями</w:t>
      </w:r>
      <w:r>
        <w:rPr>
          <w:sz w:val="28"/>
          <w:szCs w:val="28"/>
        </w:rPr>
        <w:t xml:space="preserve"> на объектах АО «ДГК».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54"/>
        <w:tabs>
          <w:tab w:val="left" w:pos="1560" w:leader="none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Срок: постоянно</w:t>
      </w:r>
      <w:r>
        <w:rPr>
          <w:sz w:val="28"/>
          <w:szCs w:val="28"/>
        </w:rPr>
        <w:t xml:space="preserve"> при формировании конкурсной документации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tabs>
          <w:tab w:val="left" w:pos="1560" w:leader="none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Организовать ознакомление руководителей и специалистов                            с требованиями Положения.</w:t>
      </w:r>
      <w:r>
        <w:rPr>
          <w:sz w:val="28"/>
          <w:szCs w:val="28"/>
        </w:rPr>
      </w:r>
    </w:p>
    <w:p>
      <w:pPr>
        <w:pStyle w:val="654"/>
        <w:tabs>
          <w:tab w:val="left" w:pos="1560" w:leader="none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>
        <w:rPr>
          <w:sz w:val="28"/>
          <w:szCs w:val="28"/>
        </w:rPr>
        <w:t xml:space="preserve">в течение 20 дней с даты регистрации приказа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tabs>
          <w:tab w:val="left" w:pos="1560" w:leader="none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Приказ АО «ДГК» от 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№ </w:t>
      </w:r>
      <w:r>
        <w:rPr>
          <w:sz w:val="28"/>
          <w:szCs w:val="28"/>
        </w:rPr>
        <w:t xml:space="preserve">53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«О введении в действие «</w:t>
      </w:r>
      <w:r>
        <w:rPr>
          <w:sz w:val="28"/>
          <w:szCs w:val="28"/>
        </w:rPr>
        <w:t xml:space="preserve">Положени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о допуске персонала </w:t>
      </w:r>
      <w:r>
        <w:rPr>
          <w:sz w:val="28"/>
          <w:szCs w:val="28"/>
        </w:rPr>
        <w:t xml:space="preserve">подрядных </w:t>
      </w:r>
      <w:r>
        <w:rPr>
          <w:sz w:val="28"/>
          <w:szCs w:val="28"/>
        </w:rPr>
        <w:t xml:space="preserve">организаций и к выполнению работ на объектах АО «ДГК»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считать утратившим силу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tabs>
          <w:tab w:val="left" w:pos="1560" w:leader="none"/>
        </w:tabs>
        <w:spacing w:line="360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Срок: с даты </w:t>
      </w:r>
      <w:r>
        <w:rPr>
          <w:sz w:val="28"/>
          <w:szCs w:val="28"/>
        </w:rPr>
        <w:t xml:space="preserve">регистрации </w:t>
      </w:r>
      <w:r>
        <w:rPr>
          <w:sz w:val="28"/>
          <w:szCs w:val="28"/>
        </w:rPr>
        <w:t xml:space="preserve">настоящего приказа.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исполнения </w:t>
      </w:r>
      <w:r>
        <w:rPr>
          <w:sz w:val="28"/>
          <w:szCs w:val="28"/>
        </w:rPr>
        <w:t xml:space="preserve">приказа возложить на первого заместителя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енерального директора – главного инженера </w:t>
      </w:r>
      <w:r>
        <w:rPr>
          <w:sz w:val="28"/>
          <w:szCs w:val="28"/>
        </w:rPr>
        <w:t xml:space="preserve">Тениховского В.</w:t>
      </w:r>
      <w:r>
        <w:rPr>
          <w:sz w:val="28"/>
          <w:szCs w:val="28"/>
        </w:rPr>
        <w:t xml:space="preserve">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Генеральный директор                                                                           </w:t>
      </w:r>
      <w:r>
        <w:rPr>
          <w:sz w:val="28"/>
          <w:szCs w:val="28"/>
        </w:rPr>
        <w:t xml:space="preserve">С.В. Иртов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54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spacing w:line="240" w:lineRule="auto"/>
        <w:jc w:val="both"/>
      </w:pPr>
      <w:r>
        <w:t xml:space="preserve">Рассылается: </w:t>
      </w:r>
      <w:r>
        <w:rPr>
          <w:u w:val="single"/>
        </w:rPr>
        <w:t xml:space="preserve">22.</w:t>
      </w:r>
      <w:r>
        <w:rPr>
          <w:u w:val="single"/>
        </w:rPr>
        <w:t xml:space="preserve">2</w:t>
      </w:r>
      <w:r>
        <w:t xml:space="preserve">, </w:t>
      </w:r>
      <w:r>
        <w:t xml:space="preserve">22; </w:t>
      </w:r>
      <w:r>
        <w:t xml:space="preserve">01.2; </w:t>
      </w:r>
      <w:r>
        <w:t xml:space="preserve">01.3; 01.5; </w:t>
      </w:r>
      <w:r>
        <w:t xml:space="preserve">02.33; </w:t>
      </w:r>
      <w:r>
        <w:t xml:space="preserve">все структурные подразделения АО «ДГК», </w:t>
      </w:r>
      <w:r>
        <w:t xml:space="preserve">все подразделения И</w:t>
      </w:r>
      <w:r>
        <w:t xml:space="preserve">сполнительного аппарата </w:t>
      </w:r>
      <w:r>
        <w:t xml:space="preserve">А</w:t>
      </w:r>
      <w:r>
        <w:t xml:space="preserve">О «ДГК»</w:t>
      </w:r>
      <w:r>
        <w:t xml:space="preserve">.</w:t>
      </w:r>
    </w:p>
    <w:p>
      <w:pPr>
        <w:pStyle w:val="654"/>
        <w:spacing w:line="240" w:lineRule="auto"/>
        <w:jc w:val="both"/>
      </w:pPr>
    </w:p>
    <w:p>
      <w:pPr>
        <w:pStyle w:val="654"/>
        <w:spacing w:line="240" w:lineRule="auto"/>
        <w:jc w:val="both"/>
        <w:rPr>
          <w:lang w:val="en-US"/>
        </w:rPr>
      </w:pPr>
      <w:r>
        <w:t xml:space="preserve">Карпова Т.Е.</w:t>
      </w:r>
      <w:r>
        <w:rPr>
          <w:lang w:val="en-US"/>
        </w:rPr>
      </w:r>
    </w:p>
    <w:p>
      <w:pPr>
        <w:spacing w:line="240" w:lineRule="auto"/>
        <w:jc w:val="both"/>
      </w:pPr>
      <w:r>
        <w:rPr>
          <w:lang w:val="en-US"/>
        </w:rPr>
        <w:t xml:space="preserve">6-</w:t>
      </w:r>
      <w:r>
        <w:t xml:space="preserve">46-34</w:t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709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  <w:jc w:val="center"/>
    </w:pPr>
    <w:fldSimple w:instr="PAGE \* MERGEFORMAT">
      <w:r>
        <w:t xml:space="preserve">1</w:t>
      </w:r>
    </w:fldSimple>
  </w:p>
  <w:p>
    <w:pPr>
      <w:pStyle w:val="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tabs>
          <w:tab w:val="num" w:pos="420" w:leader="none"/>
        </w:tabs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720" w:leader="none"/>
        </w:tabs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720" w:leader="none"/>
        </w:tabs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080" w:leader="none"/>
        </w:tabs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1080" w:leader="none"/>
        </w:tabs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1440" w:leader="none"/>
        </w:tabs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1800" w:leader="none"/>
        </w:tabs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1800" w:leader="none"/>
        </w:tabs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2160" w:leader="none"/>
        </w:tabs>
        <w:ind w:left="216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14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1080" w:leader="none"/>
        </w:tabs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1080" w:leader="none"/>
        </w:tabs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440" w:leader="none"/>
        </w:tabs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1440" w:leader="none"/>
        </w:tabs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1800" w:leader="none"/>
        </w:tabs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2160" w:leader="none"/>
        </w:tabs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2160" w:leader="none"/>
        </w:tabs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2520" w:leader="none"/>
        </w:tabs>
        <w:ind w:left="2520" w:hanging="216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tabs>
          <w:tab w:val="num" w:pos="360" w:leader="none"/>
        </w:tabs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360" w:leader="none"/>
        </w:tabs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720" w:leader="none"/>
        </w:tabs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tabs>
          <w:tab w:val="num" w:pos="1080" w:leader="none"/>
        </w:tabs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tabs>
          <w:tab w:val="num" w:pos="1080" w:leader="none"/>
        </w:tabs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tabs>
          <w:tab w:val="num" w:pos="1440" w:leader="none"/>
        </w:tabs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tabs>
          <w:tab w:val="num" w:pos="1440" w:leader="none"/>
        </w:tabs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tabs>
          <w:tab w:val="num" w:pos="1800" w:leader="none"/>
        </w:tabs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tabs>
          <w:tab w:val="num" w:pos="2160" w:leader="none"/>
        </w:tabs>
        <w:ind w:left="2160" w:hanging="21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60" w:leader="none"/>
        </w:tabs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360" w:leader="none"/>
        </w:tabs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1080" w:leader="none"/>
        </w:tabs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440" w:leader="none"/>
        </w:tabs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1440" w:leader="none"/>
        </w:tabs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1800" w:leader="none"/>
        </w:tabs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2160" w:leader="none"/>
        </w:tabs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2160" w:leader="none"/>
        </w:tabs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2520" w:leader="none"/>
        </w:tabs>
        <w:ind w:left="2520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502" w:leader="none"/>
        </w:tabs>
        <w:ind w:left="502" w:hanging="36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1080" w:leader="none"/>
        </w:tabs>
        <w:ind w:left="108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080" w:leader="none"/>
        </w:tabs>
        <w:ind w:left="1080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1440" w:leader="none"/>
        </w:tabs>
        <w:ind w:left="144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1440" w:leader="none"/>
        </w:tabs>
        <w:ind w:left="1440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1800" w:leader="none"/>
        </w:tabs>
        <w:ind w:left="180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1800" w:leader="none"/>
        </w:tabs>
        <w:ind w:left="1800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2160" w:leader="none"/>
        </w:tabs>
        <w:ind w:left="2160" w:hanging="180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420" w:leader="none"/>
        </w:tabs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720" w:leader="none"/>
        </w:tabs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720" w:leader="none"/>
        </w:tabs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080" w:leader="none"/>
        </w:tabs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1080" w:leader="none"/>
        </w:tabs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1440" w:leader="none"/>
        </w:tabs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1800" w:leader="none"/>
        </w:tabs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1800" w:leader="none"/>
        </w:tabs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2160" w:leader="none"/>
        </w:tabs>
        <w:ind w:left="2160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tabs>
          <w:tab w:val="num" w:pos="360" w:leader="none"/>
        </w:tabs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360" w:leader="none"/>
        </w:tabs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720" w:leader="none"/>
        </w:tabs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tabs>
          <w:tab w:val="num" w:pos="1080" w:leader="none"/>
        </w:tabs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tabs>
          <w:tab w:val="num" w:pos="1080" w:leader="none"/>
        </w:tabs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tabs>
          <w:tab w:val="num" w:pos="1440" w:leader="none"/>
        </w:tabs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tabs>
          <w:tab w:val="num" w:pos="1440" w:leader="none"/>
        </w:tabs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tabs>
          <w:tab w:val="num" w:pos="1800" w:leader="none"/>
        </w:tabs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tabs>
          <w:tab w:val="num" w:pos="2160" w:leader="none"/>
        </w:tabs>
        <w:ind w:left="2160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780" w:leader="none"/>
        </w:tabs>
        <w:ind w:left="780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1080" w:leader="none"/>
        </w:tabs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080" w:leader="none"/>
        </w:tabs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1440" w:leader="none"/>
        </w:tabs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1440" w:leader="none"/>
        </w:tabs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1800" w:leader="none"/>
        </w:tabs>
        <w:ind w:left="18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1800" w:leader="none"/>
        </w:tabs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2160" w:leader="none"/>
        </w:tabs>
        <w:ind w:left="2160" w:hanging="180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tabs>
          <w:tab w:val="num" w:pos="360" w:leader="none"/>
        </w:tabs>
        <w:ind w:left="360" w:hanging="360"/>
      </w:pPr>
    </w:lvl>
    <w:lvl w:ilvl="1">
      <w:start w:val="2"/>
      <w:numFmt w:val="decimal"/>
      <w:isLgl w:val="false"/>
      <w:suff w:val="tab"/>
      <w:lvlText w:val="%1.%2"/>
      <w:lvlJc w:val="left"/>
      <w:pPr>
        <w:tabs>
          <w:tab w:val="num" w:pos="360" w:leader="none"/>
        </w:tabs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720" w:leader="none"/>
        </w:tabs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tabs>
          <w:tab w:val="num" w:pos="1080" w:leader="none"/>
        </w:tabs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tabs>
          <w:tab w:val="num" w:pos="1080" w:leader="none"/>
        </w:tabs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tabs>
          <w:tab w:val="num" w:pos="1440" w:leader="none"/>
        </w:tabs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tabs>
          <w:tab w:val="num" w:pos="1440" w:leader="none"/>
        </w:tabs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tabs>
          <w:tab w:val="num" w:pos="1800" w:leader="none"/>
        </w:tabs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tabs>
          <w:tab w:val="num" w:pos="2160" w:leader="none"/>
        </w:tabs>
        <w:ind w:left="2160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91" w:hanging="765"/>
      </w:pPr>
    </w:lvl>
    <w:lvl w:ilvl="1">
      <w:start w:val="1"/>
      <w:numFmt w:val="decimal"/>
      <w:isLgl w:val="false"/>
      <w:suff w:val="tab"/>
      <w:lvlText w:val="%1.%2."/>
      <w:lvlJc w:val="left"/>
      <w:pPr>
        <w:ind w:left="114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50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66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22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2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86" w:hanging="2160"/>
      </w:p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700" w:hanging="2160"/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tabs>
          <w:tab w:val="num" w:pos="420" w:leader="none"/>
        </w:tabs>
        <w:ind w:left="420" w:hanging="420"/>
      </w:pPr>
    </w:lvl>
    <w:lvl w:ilvl="1">
      <w:start w:val="2"/>
      <w:numFmt w:val="decimal"/>
      <w:isLgl w:val="false"/>
      <w:suff w:val="tab"/>
      <w:lvlText w:val="%1.%2."/>
      <w:lvlJc w:val="left"/>
      <w:pPr>
        <w:tabs>
          <w:tab w:val="num" w:pos="720" w:leader="none"/>
        </w:tabs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720" w:leader="none"/>
        </w:tabs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080" w:leader="none"/>
        </w:tabs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1080" w:leader="none"/>
        </w:tabs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1440" w:leader="none"/>
        </w:tabs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1800" w:leader="none"/>
        </w:tabs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1800" w:leader="none"/>
        </w:tabs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2160" w:leader="none"/>
        </w:tabs>
        <w:ind w:left="2160" w:hanging="216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1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700" w:hanging="216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5"/>
  </w:num>
  <w:num w:numId="5">
    <w:abstractNumId w:val="13"/>
  </w:num>
  <w:num w:numId="6">
    <w:abstractNumId w:val="11"/>
  </w:num>
  <w:num w:numId="7">
    <w:abstractNumId w:val="0"/>
  </w:num>
  <w:num w:numId="8">
    <w:abstractNumId w:val="9"/>
  </w:num>
  <w:num w:numId="9">
    <w:abstractNumId w:val="8"/>
  </w:num>
  <w:num w:numId="10">
    <w:abstractNumId w:val="10"/>
  </w:num>
  <w:num w:numId="11">
    <w:abstractNumId w:val="7"/>
  </w:num>
  <w:num w:numId="12">
    <w:abstractNumId w:val="1"/>
  </w:num>
  <w:num w:numId="13">
    <w:abstractNumId w:val="18"/>
  </w:num>
  <w:num w:numId="14">
    <w:abstractNumId w:val="3"/>
  </w:num>
  <w:num w:numId="15">
    <w:abstractNumId w:val="2"/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4"/>
    <w:next w:val="654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4"/>
    <w:next w:val="654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4"/>
    <w:next w:val="654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4"/>
    <w:next w:val="654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4"/>
    <w:next w:val="654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4"/>
    <w:next w:val="654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4"/>
    <w:next w:val="654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4"/>
    <w:next w:val="654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4"/>
    <w:next w:val="654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4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4"/>
    <w:next w:val="654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4"/>
    <w:next w:val="65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4"/>
    <w:next w:val="65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4"/>
    <w:next w:val="654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4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4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4"/>
    <w:next w:val="654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4"/>
    <w:next w:val="654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54"/>
    <w:next w:val="654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54"/>
    <w:next w:val="654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54"/>
    <w:next w:val="654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54"/>
    <w:next w:val="654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54"/>
    <w:next w:val="654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54"/>
    <w:next w:val="654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54"/>
    <w:next w:val="654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54"/>
    <w:next w:val="654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next w:val="654"/>
    <w:link w:val="654"/>
    <w:qFormat/>
    <w:rPr>
      <w:sz w:val="24"/>
      <w:szCs w:val="24"/>
      <w:lang w:val="ru-RU" w:eastAsia="ru-RU" w:bidi="ar-SA"/>
    </w:rPr>
  </w:style>
  <w:style w:type="paragraph" w:styleId="655">
    <w:name w:val="Заголовок 5"/>
    <w:basedOn w:val="654"/>
    <w:next w:val="654"/>
    <w:link w:val="671"/>
    <w:qFormat/>
    <w:pPr>
      <w:keepNext/>
      <w:ind w:left="360"/>
      <w:jc w:val="both"/>
      <w:outlineLvl w:val="4"/>
    </w:pPr>
    <w:rPr>
      <w:bCs/>
      <w:sz w:val="28"/>
      <w:szCs w:val="20"/>
      <w:u w:val="single"/>
    </w:rPr>
  </w:style>
  <w:style w:type="character" w:styleId="656">
    <w:name w:val="Основной шрифт абзаца"/>
    <w:next w:val="656"/>
    <w:link w:val="654"/>
    <w:semiHidden/>
  </w:style>
  <w:style w:type="table" w:styleId="657">
    <w:name w:val="Обычная таблица"/>
    <w:next w:val="657"/>
    <w:link w:val="654"/>
    <w:semiHidden/>
    <w:tblPr/>
  </w:style>
  <w:style w:type="numbering" w:styleId="658">
    <w:name w:val="Нет списка"/>
    <w:next w:val="658"/>
    <w:link w:val="654"/>
    <w:semiHidden/>
  </w:style>
  <w:style w:type="paragraph" w:styleId="659">
    <w:name w:val="Основной текст"/>
    <w:basedOn w:val="654"/>
    <w:next w:val="659"/>
    <w:link w:val="660"/>
    <w:rPr>
      <w:b/>
      <w:bCs/>
    </w:rPr>
  </w:style>
  <w:style w:type="character" w:styleId="660">
    <w:name w:val="Основной текст Знак"/>
    <w:next w:val="660"/>
    <w:link w:val="659"/>
    <w:semiHidden/>
    <w:rPr>
      <w:b/>
      <w:bCs/>
      <w:sz w:val="24"/>
      <w:szCs w:val="24"/>
      <w:lang w:val="ru-RU" w:eastAsia="ru-RU" w:bidi="ar-SA"/>
    </w:rPr>
  </w:style>
  <w:style w:type="character" w:styleId="661">
    <w:name w:val="highlite"/>
    <w:basedOn w:val="656"/>
    <w:next w:val="661"/>
    <w:link w:val="654"/>
  </w:style>
  <w:style w:type="paragraph" w:styleId="662">
    <w:name w:val="Основной текст с отступом"/>
    <w:basedOn w:val="654"/>
    <w:next w:val="662"/>
    <w:link w:val="654"/>
    <w:pPr>
      <w:spacing w:after="120"/>
      <w:ind w:left="283"/>
    </w:pPr>
  </w:style>
  <w:style w:type="paragraph" w:styleId="663">
    <w:name w:val="Текст выноски"/>
    <w:basedOn w:val="654"/>
    <w:next w:val="663"/>
    <w:link w:val="664"/>
    <w:rPr>
      <w:rFonts w:ascii="Tahoma" w:hAnsi="Tahoma" w:cs="Tahoma"/>
      <w:sz w:val="16"/>
      <w:szCs w:val="16"/>
    </w:rPr>
  </w:style>
  <w:style w:type="character" w:styleId="664">
    <w:name w:val="Текст выноски Знак"/>
    <w:next w:val="664"/>
    <w:link w:val="663"/>
    <w:rPr>
      <w:rFonts w:ascii="Tahoma" w:hAnsi="Tahoma" w:cs="Tahoma"/>
      <w:sz w:val="16"/>
      <w:szCs w:val="16"/>
    </w:rPr>
  </w:style>
  <w:style w:type="character" w:styleId="665">
    <w:name w:val="Гиперссылка"/>
    <w:next w:val="665"/>
    <w:link w:val="654"/>
    <w:rPr>
      <w:color w:val="0000ff"/>
      <w:u w:val="single"/>
    </w:rPr>
  </w:style>
  <w:style w:type="paragraph" w:styleId="666">
    <w:name w:val="Верхний колонтитул"/>
    <w:basedOn w:val="654"/>
    <w:next w:val="666"/>
    <w:link w:val="667"/>
    <w:pPr>
      <w:tabs>
        <w:tab w:val="center" w:pos="4153" w:leader="none"/>
        <w:tab w:val="right" w:pos="8306" w:leader="none"/>
      </w:tabs>
    </w:pPr>
    <w:rPr>
      <w:sz w:val="20"/>
      <w:szCs w:val="20"/>
    </w:rPr>
  </w:style>
  <w:style w:type="character" w:styleId="667">
    <w:name w:val="Верхний колонтитул Знак"/>
    <w:basedOn w:val="656"/>
    <w:next w:val="667"/>
    <w:link w:val="666"/>
  </w:style>
  <w:style w:type="paragraph" w:styleId="668">
    <w:name w:val="ConsPlusNonformat"/>
    <w:next w:val="668"/>
    <w:link w:val="654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669">
    <w:name w:val="Font Style39"/>
    <w:next w:val="669"/>
    <w:link w:val="654"/>
    <w:uiPriority w:val="99"/>
    <w:rPr>
      <w:rFonts w:ascii="Times New Roman" w:hAnsi="Times New Roman" w:cs="Times New Roman"/>
      <w:sz w:val="22"/>
      <w:szCs w:val="22"/>
    </w:rPr>
  </w:style>
  <w:style w:type="paragraph" w:styleId="670">
    <w:name w:val="Style26"/>
    <w:basedOn w:val="654"/>
    <w:next w:val="670"/>
    <w:link w:val="654"/>
    <w:uiPriority w:val="99"/>
    <w:pPr>
      <w:widowControl w:val="off"/>
      <w:spacing w:line="274" w:lineRule="exact"/>
      <w:jc w:val="both"/>
    </w:pPr>
  </w:style>
  <w:style w:type="character" w:styleId="671">
    <w:name w:val="Заголовок 5 Знак"/>
    <w:next w:val="671"/>
    <w:link w:val="655"/>
    <w:rPr>
      <w:bCs/>
      <w:sz w:val="28"/>
      <w:u w:val="single"/>
    </w:rPr>
  </w:style>
  <w:style w:type="paragraph" w:styleId="672">
    <w:name w:val="Абзац списка"/>
    <w:basedOn w:val="654"/>
    <w:next w:val="672"/>
    <w:link w:val="654"/>
    <w:uiPriority w:val="34"/>
    <w:qFormat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table" w:styleId="673">
    <w:name w:val="Сетка таблицы"/>
    <w:basedOn w:val="657"/>
    <w:next w:val="673"/>
    <w:link w:val="654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961" w:default="1">
    <w:name w:val="Default Paragraph Font"/>
    <w:uiPriority w:val="1"/>
    <w:semiHidden/>
    <w:unhideWhenUsed/>
  </w:style>
  <w:style w:type="numbering" w:styleId="962" w:default="1">
    <w:name w:val="No List"/>
    <w:uiPriority w:val="99"/>
    <w:semiHidden/>
    <w:unhideWhenUsed/>
  </w:style>
  <w:style w:type="table" w:styleId="9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Home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chu_oe</dc:creator>
  <cp:lastModifiedBy>stepanova_sv</cp:lastModifiedBy>
  <cp:revision>40</cp:revision>
  <dcterms:created xsi:type="dcterms:W3CDTF">2016-06-20T02:07:00Z</dcterms:created>
  <dcterms:modified xsi:type="dcterms:W3CDTF">2025-09-24T23:55:38Z</dcterms:modified>
  <cp:version>1048576</cp:version>
</cp:coreProperties>
</file>